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KOMPAS INTERNATIONAL COLLEGE</w:t>
        <w:br/>
        <w:t>COMPUTERISED ACCOUNTING SKILLS LEVEL 2 (ASE20095)</w:t>
      </w:r>
    </w:p>
    <w:p>
      <w:pPr>
        <w:jc w:val="center"/>
      </w:pPr>
      <w:r>
        <w:rPr>
          <w:b/>
          <w:sz w:val="24"/>
        </w:rPr>
        <w:t>OFFICIAL GRADING RUBRIC - PRACTICAL ASSIGNMENTS</w:t>
      </w:r>
    </w:p>
    <w:p>
      <w:r>
        <w:t>This rubric applies equally to Assignment 1 (SQL Accounting) and Assignment 2 (Million Cloud Accounting). Each assignment is worth 50 marks. Total course assessment is 100 Marks (50 + 50).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D9D9D9"/>
          </w:tcPr>
          <w:p>
            <w:r/>
            <w:r>
              <w:rPr>
                <w:rFonts w:ascii="Arial" w:hAnsi="Arial"/>
                <w:b/>
                <w:sz w:val="22"/>
              </w:rPr>
              <w:t>Assessment Criteria</w:t>
            </w:r>
          </w:p>
        </w:tc>
        <w:tc>
          <w:tcPr>
            <w:tcW w:type="dxa" w:w="2880"/>
            <w:shd w:fill="D9D9D9"/>
          </w:tcPr>
          <w:p>
            <w:r/>
            <w:r>
              <w:rPr>
                <w:rFonts w:ascii="Arial" w:hAnsi="Arial"/>
                <w:b/>
                <w:sz w:val="22"/>
              </w:rPr>
              <w:t>Marks Allocated</w:t>
            </w:r>
          </w:p>
        </w:tc>
        <w:tc>
          <w:tcPr>
            <w:tcW w:type="dxa" w:w="2880"/>
            <w:shd w:fill="D9D9D9"/>
          </w:tcPr>
          <w:p>
            <w:r/>
            <w:r>
              <w:rPr>
                <w:rFonts w:ascii="Arial" w:hAnsi="Arial"/>
                <w:b/>
                <w:sz w:val="22"/>
              </w:rPr>
              <w:t>Marks Awarded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2"/>
              </w:rPr>
              <w:t>1. Database Setup &amp; Opening Balances</w:t>
              <w:br/>
              <w:t>Correct company creation, financial period settings, and accurate opening balances (Capital, Bank, Cash, Van, Stock).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/>
                <w:sz w:val="22"/>
              </w:rPr>
              <w:t>5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2"/>
              </w:rPr>
              <w:t>2. Purchases Flow</w:t>
              <w:br/>
              <w:t>Accurate processing of Purchase Orders, Goods Received Notes, Purchase Invoices (with SST), and Debit Notes (Returns).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/>
                <w:sz w:val="22"/>
              </w:rPr>
              <w:t>10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2"/>
              </w:rPr>
              <w:t>3. Sales Flow</w:t>
              <w:br/>
              <w:t>Accurate processing of Sales Orders, Delivery Orders, Tax Invoices (with SST), and Credit Notes (Returns).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/>
                <w:sz w:val="22"/>
              </w:rPr>
              <w:t>10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2"/>
              </w:rPr>
              <w:t>4. Cash Book &amp; Bank Reconciliation</w:t>
              <w:br/>
              <w:t>Accurate processing of Official Receipts, Payment Vouchers, Cash Sales, Petty Cash, and proper reversal of Bounced Cheques.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/>
                <w:sz w:val="22"/>
              </w:rPr>
              <w:t>10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2"/>
              </w:rPr>
              <w:t>5. Month End Adjustments</w:t>
              <w:br/>
              <w:t>Correct Journal Vouchers for Depreciation and accurate Closing Stock manual entry.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/>
                <w:sz w:val="22"/>
              </w:rPr>
              <w:t>5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2"/>
              </w:rPr>
              <w:t>6. Financial Report Accuracy</w:t>
              <w:br/>
              <w:t>Perfect mathematical match against Model Answers for Trial Balance, Income Statement, and Balance Sheet.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/>
                <w:sz w:val="22"/>
              </w:rPr>
              <w:t>5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2"/>
              </w:rPr>
              <w:t>7. System Backup &amp; Tax Export</w:t>
              <w:br/>
              <w:t>Successful generation of the SST-02 file and a complete, retrievable database backup (.bak / cloud export).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/>
                <w:sz w:val="22"/>
              </w:rPr>
              <w:t>5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2880"/>
            <w:shd w:fill="D9D9D9"/>
          </w:tcPr>
          <w:p>
            <w:r/>
            <w:r>
              <w:rPr>
                <w:rFonts w:ascii="Arial" w:hAnsi="Arial"/>
                <w:b/>
                <w:sz w:val="22"/>
              </w:rPr>
              <w:t>TOTAL SCORE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/>
                <w:sz w:val="22"/>
              </w:rPr>
              <w:t>50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/>
                <w:sz w:val="22"/>
              </w:rPr>
              <w:t>____ / 50</w:t>
            </w:r>
          </w:p>
        </w:tc>
      </w:tr>
    </w:tbl>
    <w:p>
      <w:r>
        <w:br/>
        <w:br/>
        <w:t>Lecturer Comments:</w:t>
      </w:r>
    </w:p>
    <w:p>
      <w:r>
        <w:t>____________________________________________________________________</w:t>
      </w:r>
    </w:p>
    <w:p>
      <w:r>
        <w:t>____________________________________________________________________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